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E8" w:rsidRDefault="009853E8" w:rsidP="009853E8">
      <w:pPr>
        <w:ind w:left="4500"/>
        <w:rPr>
          <w:b/>
        </w:rPr>
      </w:pPr>
      <w:r w:rsidRPr="00B2272E">
        <w:rPr>
          <w:b/>
        </w:rPr>
        <w:t xml:space="preserve">Арбитражный суд Хабаровского края </w:t>
      </w:r>
    </w:p>
    <w:p w:rsidR="009853E8" w:rsidRDefault="009853E8" w:rsidP="009853E8">
      <w:pPr>
        <w:ind w:left="4500"/>
      </w:pPr>
      <w:r>
        <w:t>680030, г. Хабаровск, ул. Ленина 37</w:t>
      </w:r>
    </w:p>
    <w:p w:rsidR="009853E8" w:rsidRDefault="009853E8" w:rsidP="009853E8">
      <w:pPr>
        <w:ind w:left="4500"/>
      </w:pPr>
    </w:p>
    <w:p w:rsidR="009853E8" w:rsidRDefault="009853E8" w:rsidP="009853E8">
      <w:pPr>
        <w:ind w:left="4500" w:hanging="720"/>
      </w:pPr>
      <w:r w:rsidRPr="00AC49F2">
        <w:rPr>
          <w:b/>
        </w:rPr>
        <w:t>Истец:</w:t>
      </w:r>
      <w:r>
        <w:t xml:space="preserve"> ООО «СОНАР»</w:t>
      </w:r>
    </w:p>
    <w:p w:rsidR="009853E8" w:rsidRPr="00AC49F2" w:rsidRDefault="009853E8" w:rsidP="009853E8">
      <w:pPr>
        <w:ind w:left="4500"/>
        <w:rPr>
          <w:b/>
        </w:rPr>
      </w:pPr>
      <w:r w:rsidRPr="00AC49F2">
        <w:rPr>
          <w:b/>
        </w:rPr>
        <w:t>(ИНН 7724756130)</w:t>
      </w:r>
    </w:p>
    <w:p w:rsidR="009853E8" w:rsidRDefault="009853E8" w:rsidP="009853E8">
      <w:pPr>
        <w:ind w:left="4500"/>
      </w:pPr>
      <w:r w:rsidRPr="008C5DB6">
        <w:rPr>
          <w:b/>
        </w:rPr>
        <w:t>Адрес:</w:t>
      </w:r>
      <w:r>
        <w:t xml:space="preserve"> 117405, г. Москва, ул. Дорожная, д. 60Б, этаж 3, оф. 334</w:t>
      </w:r>
    </w:p>
    <w:p w:rsidR="009853E8" w:rsidRDefault="009853E8" w:rsidP="009853E8">
      <w:pPr>
        <w:ind w:left="4500"/>
      </w:pPr>
      <w:r>
        <w:rPr>
          <w:b/>
        </w:rPr>
        <w:t>Представитель:</w:t>
      </w:r>
      <w:r>
        <w:t xml:space="preserve"> Печенкин Егор Евгеньевич тел. 8-923-524-77-93 </w:t>
      </w:r>
    </w:p>
    <w:p w:rsidR="009853E8" w:rsidRPr="004E162A" w:rsidRDefault="009853E8" w:rsidP="009853E8">
      <w:pPr>
        <w:ind w:left="4500"/>
      </w:pPr>
      <w:r>
        <w:rPr>
          <w:b/>
        </w:rPr>
        <w:t>Адрес для корреспонденции:</w:t>
      </w:r>
      <w:r>
        <w:t xml:space="preserve"> 650025, г. Кемерово, ул. Дзержинского 23 (Адвокатский кабинет Тарасенко В.Г.)</w:t>
      </w:r>
    </w:p>
    <w:p w:rsidR="009853E8" w:rsidRPr="008C5DB6" w:rsidRDefault="009853E8" w:rsidP="009853E8">
      <w:pPr>
        <w:ind w:left="4500"/>
        <w:rPr>
          <w:b/>
        </w:rPr>
      </w:pPr>
    </w:p>
    <w:p w:rsidR="009853E8" w:rsidRDefault="009853E8" w:rsidP="009853E8">
      <w:pPr>
        <w:ind w:left="4536" w:hanging="1116"/>
        <w:rPr>
          <w:b/>
        </w:rPr>
      </w:pPr>
      <w:r w:rsidRPr="008C5DB6">
        <w:rPr>
          <w:b/>
        </w:rPr>
        <w:t>Ответчик:</w:t>
      </w:r>
      <w:r>
        <w:t xml:space="preserve"> </w:t>
      </w:r>
      <w:r w:rsidRPr="008C5DB6">
        <w:t>Муниципальное унитарное предприятие города Хабаровска «Дорожник»</w:t>
      </w:r>
      <w:r>
        <w:rPr>
          <w:b/>
        </w:rPr>
        <w:t xml:space="preserve"> (ИНН:2724071514)</w:t>
      </w:r>
    </w:p>
    <w:p w:rsidR="009853E8" w:rsidRDefault="009853E8" w:rsidP="009853E8">
      <w:pPr>
        <w:ind w:left="4536"/>
        <w:rPr>
          <w:b/>
        </w:rPr>
      </w:pPr>
    </w:p>
    <w:p w:rsidR="009853E8" w:rsidRPr="00FA6CBA" w:rsidRDefault="009853E8" w:rsidP="009853E8">
      <w:pPr>
        <w:ind w:left="4536"/>
      </w:pPr>
      <w:r>
        <w:rPr>
          <w:b/>
        </w:rPr>
        <w:t xml:space="preserve">Адрес: </w:t>
      </w:r>
      <w:r>
        <w:t>680009, Хабаровский край, г. Хабаровск, ул. Промышленная д. 15</w:t>
      </w:r>
    </w:p>
    <w:p w:rsidR="009853E8" w:rsidRPr="003D1136" w:rsidRDefault="009853E8" w:rsidP="009853E8">
      <w:pPr>
        <w:ind w:left="4500"/>
        <w:rPr>
          <w:i/>
        </w:rPr>
      </w:pPr>
    </w:p>
    <w:p w:rsidR="009853E8" w:rsidRPr="003D1136" w:rsidRDefault="009853E8" w:rsidP="009853E8">
      <w:pPr>
        <w:ind w:left="4500"/>
        <w:rPr>
          <w:i/>
        </w:rPr>
      </w:pPr>
      <w:r w:rsidRPr="003D1136">
        <w:rPr>
          <w:i/>
        </w:rPr>
        <w:t>Цена иска: 34 418 руб.</w:t>
      </w:r>
    </w:p>
    <w:p w:rsidR="009853E8" w:rsidRPr="003D1136" w:rsidRDefault="009853E8" w:rsidP="009853E8">
      <w:pPr>
        <w:ind w:left="4500"/>
        <w:rPr>
          <w:i/>
        </w:rPr>
      </w:pPr>
      <w:r w:rsidRPr="003D1136">
        <w:rPr>
          <w:i/>
        </w:rPr>
        <w:t xml:space="preserve">Гос. пошлина: </w:t>
      </w:r>
      <w:r>
        <w:rPr>
          <w:i/>
        </w:rPr>
        <w:t xml:space="preserve">2 000 </w:t>
      </w:r>
      <w:r w:rsidRPr="003D1136">
        <w:rPr>
          <w:i/>
        </w:rPr>
        <w:t>руб.</w:t>
      </w:r>
    </w:p>
    <w:p w:rsidR="009853E8" w:rsidRDefault="009853E8" w:rsidP="009853E8">
      <w:pPr>
        <w:ind w:left="4500"/>
      </w:pPr>
    </w:p>
    <w:p w:rsidR="009853E8" w:rsidRPr="00E71CDE" w:rsidRDefault="009853E8" w:rsidP="009853E8">
      <w:pPr>
        <w:jc w:val="center"/>
        <w:rPr>
          <w:b/>
        </w:rPr>
      </w:pPr>
      <w:r w:rsidRPr="00E71CDE">
        <w:rPr>
          <w:b/>
        </w:rPr>
        <w:t xml:space="preserve">ИСКОВОЕ ЗАЯВЛЕНИЕ </w:t>
      </w:r>
    </w:p>
    <w:p w:rsidR="009853E8" w:rsidRDefault="009853E8" w:rsidP="009853E8">
      <w:pPr>
        <w:jc w:val="center"/>
      </w:pPr>
    </w:p>
    <w:p w:rsidR="009853E8" w:rsidRDefault="009853E8" w:rsidP="009853E8">
      <w:pPr>
        <w:ind w:firstLine="567"/>
        <w:jc w:val="both"/>
      </w:pPr>
      <w:r>
        <w:t>«17» февраля 2020 г. Арбитражным судом Хабаровского края вынесено решение по делу № А73-25461/2019 о взыскании с МУП города Хабаровска «Дорожник» денежных средств в размере 956 312 руб. 39 коп.</w:t>
      </w:r>
    </w:p>
    <w:p w:rsidR="009853E8" w:rsidRDefault="009853E8" w:rsidP="009853E8">
      <w:pPr>
        <w:ind w:firstLine="540"/>
        <w:jc w:val="both"/>
      </w:pPr>
      <w:r>
        <w:t xml:space="preserve"> «18» марта 2020 г. решение суда вступило в законную силу,  однако до настоящего времени оно ответчиком не исполнено.</w:t>
      </w:r>
    </w:p>
    <w:p w:rsidR="009853E8" w:rsidRDefault="009853E8" w:rsidP="009853E8">
      <w:pPr>
        <w:ind w:firstLine="540"/>
        <w:jc w:val="both"/>
      </w:pPr>
      <w:r>
        <w:t>«06» октября 2020 г. ответчику была направлена претензия о выплате процентов по ст. 395 ГК РФ за период неисполнения решения Арбитражного суда Хабаровского края от 17.02.2020 г.</w:t>
      </w:r>
    </w:p>
    <w:p w:rsidR="009853E8" w:rsidRDefault="009853E8" w:rsidP="009853E8">
      <w:pPr>
        <w:ind w:firstLine="540"/>
        <w:jc w:val="both"/>
      </w:pPr>
      <w:r>
        <w:t>Претензия оставлена ответчиком без удовлетворения.</w:t>
      </w:r>
    </w:p>
    <w:p w:rsidR="009853E8" w:rsidRDefault="009853E8" w:rsidP="009853E8">
      <w:pPr>
        <w:ind w:firstLine="540"/>
        <w:jc w:val="both"/>
      </w:pPr>
      <w:r>
        <w:t>Согласно п. 10.1. Договора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В случае невыполнения Сторонами своих обязательств и недостижении взаимного согласия споры по настоящему договору разрешаются в Арбитражном суде Хабаровского края, с обязательным соблюдение претензионного порядка» (п. 10.2. Договора).</w:t>
      </w:r>
    </w:p>
    <w:p w:rsidR="009853E8" w:rsidRDefault="009853E8" w:rsidP="009853E8">
      <w:pPr>
        <w:ind w:firstLine="540"/>
        <w:jc w:val="both"/>
      </w:pPr>
      <w:r>
        <w:t>Срок рассмотрения претензии в договоре не установлен.</w:t>
      </w:r>
    </w:p>
    <w:p w:rsidR="009853E8" w:rsidRDefault="009853E8" w:rsidP="009853E8">
      <w:pPr>
        <w:ind w:firstLine="540"/>
        <w:jc w:val="both"/>
      </w:pPr>
      <w:r w:rsidRPr="00457B07">
        <w:t>Гражданско-правовые споры о взыскании денежных средств</w:t>
      </w:r>
      <w:r>
        <w:t xml:space="preserve"> </w:t>
      </w:r>
      <w:r w:rsidRPr="00457B07">
        <w:t xml:space="preserve">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w:t>
      </w:r>
      <w:r>
        <w:t xml:space="preserve"> (ст. 4 АПК РФ).</w:t>
      </w:r>
    </w:p>
    <w:p w:rsidR="009853E8" w:rsidRDefault="009853E8" w:rsidP="009853E8">
      <w:pPr>
        <w:autoSpaceDE w:val="0"/>
        <w:autoSpaceDN w:val="0"/>
        <w:adjustRightInd w:val="0"/>
        <w:ind w:firstLine="540"/>
        <w:jc w:val="both"/>
      </w:pPr>
      <w:r>
        <w:t xml:space="preserve">Согласно </w:t>
      </w:r>
      <w:hyperlink r:id="rId5" w:history="1">
        <w:r>
          <w:rPr>
            <w:color w:val="0000FF"/>
          </w:rPr>
          <w:t>пунктам 1</w:t>
        </w:r>
      </w:hyperlink>
      <w:r>
        <w:t xml:space="preserve">, </w:t>
      </w:r>
      <w:hyperlink r:id="rId6" w:history="1">
        <w:r>
          <w:rPr>
            <w:color w:val="0000FF"/>
          </w:rPr>
          <w:t>2</w:t>
        </w:r>
      </w:hyperlink>
      <w:r>
        <w:t xml:space="preserve"> и </w:t>
      </w:r>
      <w:hyperlink r:id="rId7" w:history="1">
        <w:r>
          <w:rPr>
            <w:color w:val="0000FF"/>
          </w:rPr>
          <w:t>3 статьи 401</w:t>
        </w:r>
      </w:hyperlink>
      <w:r>
        <w:t xml:space="preserve"> ГК РФ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w:t>
      </w:r>
      <w:r>
        <w:lastRenderedPageBreak/>
        <w:t>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853E8" w:rsidRPr="00342793" w:rsidRDefault="009853E8" w:rsidP="009853E8">
      <w:pPr>
        <w:autoSpaceDE w:val="0"/>
        <w:autoSpaceDN w:val="0"/>
        <w:adjustRightInd w:val="0"/>
        <w:ind w:firstLine="540"/>
        <w:jc w:val="both"/>
      </w:pPr>
      <w:r w:rsidRPr="00342793">
        <w:t>В соответствии с п. 1 ст. 395 Гражданского кодекса Российской Федерации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9853E8" w:rsidRDefault="009853E8" w:rsidP="009853E8">
      <w:pPr>
        <w:autoSpaceDE w:val="0"/>
        <w:autoSpaceDN w:val="0"/>
        <w:adjustRightInd w:val="0"/>
        <w:ind w:firstLine="540"/>
        <w:jc w:val="both"/>
      </w:pPr>
      <w:r>
        <w:t xml:space="preserve">Согласно </w:t>
      </w:r>
      <w:hyperlink r:id="rId8" w:history="1">
        <w:r>
          <w:rPr>
            <w:color w:val="0000FF"/>
          </w:rPr>
          <w:t>пункту 5</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вина должника в нарушении обязательства предполагается, пока не доказано обратное. Отсутствие вины в неисполнении или ненадлежащем исполнении обязательства доказывается должником.</w:t>
      </w:r>
    </w:p>
    <w:p w:rsidR="009853E8" w:rsidRDefault="009853E8" w:rsidP="009853E8">
      <w:pPr>
        <w:ind w:firstLine="540"/>
        <w:jc w:val="both"/>
      </w:pPr>
      <w:r>
        <w:t>Возможность взыскания процентов по ст. 395 ГК РФ за период неисполнения судебного решения подтверждается сложившейся судебной практикой:</w:t>
      </w:r>
    </w:p>
    <w:p w:rsidR="009853E8" w:rsidRPr="00A47EB8" w:rsidRDefault="009853E8" w:rsidP="009853E8">
      <w:pPr>
        <w:numPr>
          <w:ilvl w:val="0"/>
          <w:numId w:val="1"/>
        </w:numPr>
        <w:tabs>
          <w:tab w:val="clear" w:pos="1260"/>
          <w:tab w:val="num" w:pos="540"/>
        </w:tabs>
        <w:ind w:left="540" w:firstLine="180"/>
        <w:jc w:val="both"/>
      </w:pPr>
      <w:r w:rsidRPr="00660940">
        <w:t xml:space="preserve">истец вправе в связи с неисполнением судебного решения по другому делу, исходя из положений ст. 395 Гражданского кодекса Российской Федерации обратиться в арбитражный суд с соответствующим иском соответствует судебно-арбитражной практике и была отражена в </w:t>
      </w:r>
      <w:r w:rsidRPr="00660940">
        <w:rPr>
          <w:i/>
        </w:rPr>
        <w:t>Постановлении Президиума Высшего Арбитражного Суда Российской Федерации от 18 сентября 2007 г. N 6606/07,Определение Верховного суда РФ от 19.06.2019 по делу № 308-ЭС18-25760, Постановление ФАС Московского округа от 12.02.2010 N КГ-А41/14886-09 по делу N А41-29127/09)</w:t>
      </w:r>
    </w:p>
    <w:p w:rsidR="009853E8" w:rsidRPr="00660940" w:rsidRDefault="009853E8" w:rsidP="009853E8">
      <w:pPr>
        <w:numPr>
          <w:ilvl w:val="0"/>
          <w:numId w:val="1"/>
        </w:numPr>
        <w:tabs>
          <w:tab w:val="clear" w:pos="1260"/>
          <w:tab w:val="num" w:pos="540"/>
        </w:tabs>
        <w:ind w:left="540" w:firstLine="180"/>
        <w:jc w:val="both"/>
      </w:pPr>
      <w:r w:rsidRPr="00AD285F">
        <w:t>В случае неисполнения ответчиком судебного акта, которым была взыскана сумма задолженности, взыскатель вправе использовать меры судебной защиты путем обращения с иском о взыскании с должника в соответствии со статьей 395 Кодекса процентов за пользование чужими денежными средствами, начисленными на сумму неисполненного обязательства</w:t>
      </w:r>
      <w:r>
        <w:t xml:space="preserve"> (</w:t>
      </w:r>
      <w:r w:rsidRPr="00AD285F">
        <w:rPr>
          <w:i/>
        </w:rPr>
        <w:t>решение Арбитражного суда Алтайского края от 01.11.2018 по делу № А03-12764/2018</w:t>
      </w:r>
      <w:r>
        <w:rPr>
          <w:i/>
        </w:rPr>
        <w:t>)</w:t>
      </w:r>
    </w:p>
    <w:p w:rsidR="009853E8" w:rsidRDefault="009853E8" w:rsidP="009853E8">
      <w:pPr>
        <w:numPr>
          <w:ilvl w:val="0"/>
          <w:numId w:val="1"/>
        </w:numPr>
        <w:tabs>
          <w:tab w:val="clear" w:pos="1260"/>
          <w:tab w:val="num" w:pos="540"/>
        </w:tabs>
        <w:ind w:left="540" w:firstLine="180"/>
        <w:jc w:val="both"/>
      </w:pPr>
      <w:r w:rsidRPr="00E103C6">
        <w:t>Указанная норма является мерой гражданско-правовой ответственности и средством защиты стороны в обязательстве от неправомерного пользования  должником денежными средствами кредитора, направленным на исключение последствий инфляционных процессов, влекущих обесценение денежных средств (в том числе безналичных) и снижение их покупательной способности. (</w:t>
      </w:r>
      <w:r w:rsidRPr="00E103C6">
        <w:rPr>
          <w:i/>
        </w:rPr>
        <w:t>Определение Верховного суда РФ от 12.10.2017 г. по делу № 309-ЭС17-7211</w:t>
      </w:r>
      <w:r w:rsidRPr="00E103C6">
        <w:t>)</w:t>
      </w:r>
    </w:p>
    <w:p w:rsidR="009853E8" w:rsidRDefault="009853E8" w:rsidP="009853E8">
      <w:pPr>
        <w:numPr>
          <w:ilvl w:val="0"/>
          <w:numId w:val="1"/>
        </w:numPr>
        <w:tabs>
          <w:tab w:val="clear" w:pos="1260"/>
          <w:tab w:val="num" w:pos="540"/>
        </w:tabs>
        <w:ind w:left="540" w:firstLine="180"/>
        <w:jc w:val="both"/>
      </w:pPr>
      <w:r>
        <w:t>В</w:t>
      </w:r>
      <w:r w:rsidRPr="00564F1A">
        <w:t xml:space="preserve"> случае причинения вреда вследствие несвоевременного исполнения судебного акта и неперечисления денежных сумм взыскателю последний может использовать материально-правовые способы защиты, в том числе требовать взыскания процентов за пользование чужими денежными средствами (ст. 395 ГК РФ)</w:t>
      </w:r>
      <w:r>
        <w:t xml:space="preserve"> (</w:t>
      </w:r>
      <w:r w:rsidRPr="00564F1A">
        <w:rPr>
          <w:i/>
        </w:rPr>
        <w:t>Постановление Президиума Высшего Арбитражного суда РФ от 28.07.2009 г. по делу №  6961/09</w:t>
      </w:r>
      <w:r>
        <w:t>)</w:t>
      </w:r>
    </w:p>
    <w:p w:rsidR="009853E8" w:rsidRDefault="009853E8" w:rsidP="009853E8">
      <w:pPr>
        <w:jc w:val="both"/>
      </w:pPr>
    </w:p>
    <w:p w:rsidR="009853E8" w:rsidRDefault="009853E8" w:rsidP="009853E8">
      <w:pPr>
        <w:ind w:firstLine="567"/>
        <w:jc w:val="both"/>
      </w:pPr>
      <w:r w:rsidRPr="00B807FD">
        <w:t xml:space="preserve"> Одновременно с установлением суммы процентов, подлежащих взысканию, суд при наличии требования истца в резолютивной части решения указывает на взыскание процентов до момента фактического исполнения обязательства (пункт 3 статьи 395 ГК РФ). При этом день фактического исполнения обязательства, в частности уплаты задолженности кредитору, включается в период расчета процентов.</w:t>
      </w:r>
      <w:r>
        <w:t xml:space="preserve"> (пункт</w:t>
      </w:r>
      <w:r w:rsidRPr="00B807FD">
        <w:t xml:space="preserve"> 48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w:t>
      </w:r>
      <w:r>
        <w:t>)</w:t>
      </w:r>
    </w:p>
    <w:p w:rsidR="009853E8" w:rsidRDefault="009853E8" w:rsidP="009853E8">
      <w:pPr>
        <w:autoSpaceDE w:val="0"/>
        <w:autoSpaceDN w:val="0"/>
        <w:adjustRightInd w:val="0"/>
        <w:ind w:firstLine="567"/>
        <w:jc w:val="both"/>
      </w:pPr>
      <w:r>
        <w:t>Судебное решение было вынесено 17.02.2020 г., а значит начиная с 18.02.2020 г. начитает течь срок неправомерного удержания денежных средств, в связи с этим расчет процентов по ст. 395 ГК РФ выглядит следующим образом:</w:t>
      </w:r>
    </w:p>
    <w:p w:rsidR="009853E8" w:rsidRDefault="009853E8" w:rsidP="009853E8">
      <w:pPr>
        <w:autoSpaceDE w:val="0"/>
        <w:autoSpaceDN w:val="0"/>
        <w:adjustRightInd w:val="0"/>
        <w:ind w:firstLine="567"/>
        <w:jc w:val="both"/>
      </w:pPr>
    </w:p>
    <w:p w:rsidR="009853E8" w:rsidRDefault="009853E8" w:rsidP="009853E8">
      <w:pPr>
        <w:pStyle w:val="2"/>
        <w:spacing w:before="0" w:beforeAutospacing="0" w:after="0" w:afterAutospacing="0"/>
        <w:ind w:firstLine="540"/>
        <w:rPr>
          <w:color w:val="000000"/>
          <w:sz w:val="24"/>
          <w:szCs w:val="24"/>
        </w:rPr>
      </w:pPr>
      <w:r>
        <w:rPr>
          <w:color w:val="000000"/>
          <w:sz w:val="24"/>
          <w:szCs w:val="24"/>
        </w:rPr>
        <w:t>Расчет процентов по правилам статьи 395 ГК РФ</w:t>
      </w:r>
    </w:p>
    <w:p w:rsidR="009853E8" w:rsidRDefault="009853E8" w:rsidP="009853E8">
      <w:pPr>
        <w:rPr>
          <w:color w:val="000000"/>
        </w:rPr>
      </w:pP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799"/>
        <w:gridCol w:w="1260"/>
        <w:gridCol w:w="1260"/>
        <w:gridCol w:w="799"/>
        <w:gridCol w:w="1407"/>
        <w:gridCol w:w="708"/>
        <w:gridCol w:w="2037"/>
      </w:tblGrid>
      <w:tr w:rsidR="009853E8" w:rsidTr="00B77236">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Задолженность,</w:t>
            </w:r>
            <w:r>
              <w:br/>
              <w:t>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Период просрочки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Процентная</w:t>
            </w:r>
            <w:r>
              <w:br/>
              <w:t>ставка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Дней</w:t>
            </w:r>
            <w:r>
              <w:br/>
              <w:t>в</w:t>
            </w:r>
            <w:r>
              <w:br/>
              <w:t>году</w:t>
            </w:r>
          </w:p>
        </w:tc>
        <w:tc>
          <w:tcPr>
            <w:tcW w:w="2037" w:type="dxa"/>
            <w:vMerge w:val="restart"/>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Проценты,</w:t>
            </w:r>
            <w:r>
              <w:br/>
              <w:t>руб.</w:t>
            </w:r>
          </w:p>
        </w:tc>
      </w:tr>
      <w:tr w:rsidR="009853E8" w:rsidTr="00B77236">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c</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по</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pPr>
            <w:r>
              <w:t>  дни  </w:t>
            </w:r>
          </w:p>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tc>
        <w:tc>
          <w:tcPr>
            <w:tcW w:w="0" w:type="auto"/>
            <w:vMerge/>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tc>
        <w:tc>
          <w:tcPr>
            <w:tcW w:w="2037" w:type="dxa"/>
            <w:vMerge/>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tc>
      </w:tr>
      <w:tr w:rsidR="009853E8" w:rsidTr="00B77236">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rPr>
                <w:sz w:val="20"/>
                <w:szCs w:val="20"/>
              </w:rPr>
            </w:pPr>
            <w:r>
              <w:rPr>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rPr>
                <w:sz w:val="20"/>
                <w:szCs w:val="20"/>
              </w:rPr>
            </w:pPr>
            <w:r>
              <w:rPr>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rPr>
                <w:sz w:val="20"/>
                <w:szCs w:val="20"/>
              </w:rPr>
            </w:pPr>
            <w:r>
              <w:rPr>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rPr>
                <w:sz w:val="20"/>
                <w:szCs w:val="20"/>
              </w:rPr>
            </w:pPr>
            <w:r>
              <w:rPr>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rPr>
                <w:sz w:val="20"/>
                <w:szCs w:val="20"/>
              </w:rPr>
            </w:pPr>
            <w:r>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rPr>
                <w:sz w:val="20"/>
                <w:szCs w:val="20"/>
              </w:rPr>
            </w:pPr>
            <w:r>
              <w:rPr>
                <w:sz w:val="20"/>
                <w:szCs w:val="20"/>
              </w:rPr>
              <w:t>[6]</w:t>
            </w:r>
          </w:p>
        </w:tc>
        <w:tc>
          <w:tcPr>
            <w:tcW w:w="2037" w:type="dxa"/>
            <w:tcBorders>
              <w:top w:val="outset" w:sz="6" w:space="0" w:color="auto"/>
              <w:left w:val="outset" w:sz="6" w:space="0" w:color="auto"/>
              <w:bottom w:val="outset" w:sz="6" w:space="0" w:color="auto"/>
              <w:right w:val="outset" w:sz="6" w:space="0" w:color="auto"/>
            </w:tcBorders>
            <w:shd w:val="clear" w:color="auto" w:fill="F0F0F0"/>
            <w:vAlign w:val="center"/>
          </w:tcPr>
          <w:p w:rsidR="009853E8" w:rsidRDefault="009853E8" w:rsidP="00B77236">
            <w:pPr>
              <w:jc w:val="center"/>
              <w:rPr>
                <w:sz w:val="20"/>
                <w:szCs w:val="20"/>
              </w:rPr>
            </w:pPr>
            <w:r>
              <w:rPr>
                <w:sz w:val="20"/>
                <w:szCs w:val="20"/>
              </w:rPr>
              <w:t>[1]×[4]×[5]/[6]</w:t>
            </w:r>
          </w:p>
        </w:tc>
      </w:tr>
      <w:tr w:rsidR="009853E8" w:rsidTr="00B77236">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956 312</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18.02.2020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26.04.2020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69</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366</w:t>
            </w:r>
          </w:p>
        </w:tc>
        <w:tc>
          <w:tcPr>
            <w:tcW w:w="2037" w:type="dxa"/>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10 817,30</w:t>
            </w:r>
          </w:p>
        </w:tc>
      </w:tr>
      <w:tr w:rsidR="009853E8" w:rsidTr="00B77236">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956 312</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27.04.2020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21.06.2020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56</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5,50%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366</w:t>
            </w:r>
          </w:p>
        </w:tc>
        <w:tc>
          <w:tcPr>
            <w:tcW w:w="2037" w:type="dxa"/>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8 047,65</w:t>
            </w:r>
          </w:p>
        </w:tc>
      </w:tr>
      <w:tr w:rsidR="009853E8" w:rsidTr="00B77236">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956 312</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22.06.2020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26.07.2020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35</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4,50%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366</w:t>
            </w:r>
          </w:p>
        </w:tc>
        <w:tc>
          <w:tcPr>
            <w:tcW w:w="2037" w:type="dxa"/>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4 115,28</w:t>
            </w:r>
          </w:p>
        </w:tc>
      </w:tr>
      <w:tr w:rsidR="009853E8" w:rsidTr="00B77236">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956 312</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27.07.2020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06.11.2020</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103</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4,25%</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366</w:t>
            </w:r>
          </w:p>
        </w:tc>
        <w:tc>
          <w:tcPr>
            <w:tcW w:w="2037" w:type="dxa"/>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t>11 437,86</w:t>
            </w:r>
          </w:p>
        </w:tc>
      </w:tr>
      <w:tr w:rsidR="009853E8" w:rsidTr="00B77236">
        <w:tc>
          <w:tcPr>
            <w:tcW w:w="0" w:type="auto"/>
            <w:gridSpan w:val="3"/>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right"/>
            </w:pPr>
            <w:r>
              <w:rPr>
                <w:b/>
                <w:bCs/>
              </w:rPr>
              <w:t>Итого:</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rPr>
                <w:b/>
                <w:bCs/>
              </w:rPr>
              <w:t>263</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rPr>
                <w:b/>
                <w:bCs/>
              </w:rPr>
              <w:t>5,01%</w:t>
            </w:r>
          </w:p>
        </w:tc>
        <w:tc>
          <w:tcPr>
            <w:tcW w:w="0" w:type="auto"/>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p>
        </w:tc>
        <w:tc>
          <w:tcPr>
            <w:tcW w:w="2037" w:type="dxa"/>
            <w:tcBorders>
              <w:top w:val="outset" w:sz="6" w:space="0" w:color="auto"/>
              <w:left w:val="outset" w:sz="6" w:space="0" w:color="auto"/>
              <w:bottom w:val="outset" w:sz="6" w:space="0" w:color="auto"/>
              <w:right w:val="outset" w:sz="6" w:space="0" w:color="auto"/>
            </w:tcBorders>
            <w:vAlign w:val="center"/>
          </w:tcPr>
          <w:p w:rsidR="009853E8" w:rsidRDefault="009853E8" w:rsidP="00B77236">
            <w:pPr>
              <w:jc w:val="center"/>
            </w:pPr>
            <w:r>
              <w:rPr>
                <w:b/>
                <w:bCs/>
              </w:rPr>
              <w:t>34 418,09</w:t>
            </w:r>
          </w:p>
        </w:tc>
      </w:tr>
    </w:tbl>
    <w:p w:rsidR="009853E8" w:rsidRDefault="009853E8" w:rsidP="009853E8">
      <w:pPr>
        <w:ind w:firstLine="567"/>
        <w:jc w:val="both"/>
      </w:pPr>
    </w:p>
    <w:p w:rsidR="009853E8" w:rsidRDefault="009853E8" w:rsidP="009853E8">
      <w:pPr>
        <w:autoSpaceDE w:val="0"/>
        <w:autoSpaceDN w:val="0"/>
        <w:adjustRightInd w:val="0"/>
        <w:ind w:firstLine="540"/>
        <w:jc w:val="both"/>
      </w:pPr>
      <w:r>
        <w:t>Кроме этого, истцом понесены судебные расходы по оплате юридических услуг.</w:t>
      </w:r>
    </w:p>
    <w:p w:rsidR="009853E8" w:rsidRDefault="009853E8" w:rsidP="009853E8">
      <w:pPr>
        <w:autoSpaceDE w:val="0"/>
        <w:autoSpaceDN w:val="0"/>
        <w:adjustRightInd w:val="0"/>
        <w:ind w:firstLine="540"/>
        <w:jc w:val="both"/>
      </w:pPr>
      <w:r>
        <w:t>30.09.2020 г. между ООО «СОНАР» и адвокатом Тарасенко В.Г. заключено соглашение об оказании юридической помощи № 199.  По условиям соглашения п. 1.2. адвокат оказывает следующую юридическую помощь «составление и подача искового заявления в арбитражный суд к МУП города Хабаровска о взыскании процентов по ст. 395 ГК РФ за неисполнение решения Арбитражного суда Хабаровского края от 17.02.2020 по делу № А73-25461/2019»</w:t>
      </w:r>
    </w:p>
    <w:p w:rsidR="009853E8" w:rsidRDefault="009853E8" w:rsidP="009853E8">
      <w:pPr>
        <w:autoSpaceDE w:val="0"/>
        <w:autoSpaceDN w:val="0"/>
        <w:adjustRightInd w:val="0"/>
        <w:ind w:firstLine="540"/>
        <w:jc w:val="both"/>
      </w:pPr>
      <w:r>
        <w:t>Вознаграждением адвоката является гонорар в размере 10 000 руб.</w:t>
      </w:r>
    </w:p>
    <w:p w:rsidR="009853E8" w:rsidRDefault="009853E8" w:rsidP="009853E8">
      <w:pPr>
        <w:autoSpaceDE w:val="0"/>
        <w:autoSpaceDN w:val="0"/>
        <w:adjustRightInd w:val="0"/>
        <w:ind w:firstLine="540"/>
        <w:jc w:val="both"/>
      </w:pPr>
      <w:r>
        <w:t>Во исполнение условий соглашения 30.09.2020 г. истец оплатил 25 000 руб. платежным поручение № 1691 (при этом было оплачено два соглашения о юр услугах, № 199 и № 198)</w:t>
      </w:r>
    </w:p>
    <w:p w:rsidR="009853E8" w:rsidRPr="007F658C" w:rsidRDefault="009853E8" w:rsidP="009853E8">
      <w:pPr>
        <w:autoSpaceDE w:val="0"/>
        <w:autoSpaceDN w:val="0"/>
        <w:adjustRightInd w:val="0"/>
        <w:ind w:firstLine="540"/>
        <w:jc w:val="both"/>
      </w:pPr>
      <w:r>
        <w:t>Согласно ст. 110 АПК РФ с</w:t>
      </w:r>
      <w:r w:rsidRPr="007F658C">
        <w:t>удебные расходы, понесенные лицами, участвующими в деле, в пользу которых принят судебный акт, взыскиваются арбитражным судом со стороны.</w:t>
      </w:r>
    </w:p>
    <w:p w:rsidR="009853E8" w:rsidRDefault="009853E8" w:rsidP="009853E8">
      <w:pPr>
        <w:autoSpaceDE w:val="0"/>
        <w:autoSpaceDN w:val="0"/>
        <w:adjustRightInd w:val="0"/>
        <w:ind w:firstLine="540"/>
        <w:jc w:val="both"/>
      </w:pPr>
      <w:r>
        <w:t xml:space="preserve">На основании вышеизложенного и руководствуясь </w:t>
      </w:r>
      <w:hyperlink r:id="rId9" w:history="1">
        <w:r>
          <w:rPr>
            <w:color w:val="0000FF"/>
          </w:rPr>
          <w:t>п. п. 1</w:t>
        </w:r>
      </w:hyperlink>
      <w:r>
        <w:t xml:space="preserve">, </w:t>
      </w:r>
      <w:hyperlink r:id="rId10" w:history="1">
        <w:r>
          <w:rPr>
            <w:color w:val="0000FF"/>
          </w:rPr>
          <w:t>3 ст. 395</w:t>
        </w:r>
      </w:hyperlink>
      <w:r>
        <w:t xml:space="preserve"> Гражданского кодекса Российской Федерации, </w:t>
      </w:r>
      <w:hyperlink r:id="rId11" w:history="1">
        <w:r>
          <w:rPr>
            <w:color w:val="0000FF"/>
          </w:rPr>
          <w:t>ст. ст. 110</w:t>
        </w:r>
      </w:hyperlink>
      <w:r>
        <w:t xml:space="preserve">, </w:t>
      </w:r>
      <w:hyperlink r:id="rId12" w:history="1">
        <w:r>
          <w:rPr>
            <w:color w:val="0000FF"/>
          </w:rPr>
          <w:t>125</w:t>
        </w:r>
      </w:hyperlink>
      <w:r>
        <w:t xml:space="preserve">, </w:t>
      </w:r>
      <w:hyperlink r:id="rId13" w:history="1">
        <w:r>
          <w:rPr>
            <w:color w:val="0000FF"/>
          </w:rPr>
          <w:t>126</w:t>
        </w:r>
      </w:hyperlink>
      <w:r>
        <w:t xml:space="preserve"> Арбитражного процессуального кодекса Российской Федерации;</w:t>
      </w:r>
    </w:p>
    <w:p w:rsidR="009853E8" w:rsidRPr="00862980" w:rsidRDefault="009853E8" w:rsidP="009853E8">
      <w:pPr>
        <w:autoSpaceDE w:val="0"/>
        <w:autoSpaceDN w:val="0"/>
        <w:adjustRightInd w:val="0"/>
        <w:ind w:firstLine="540"/>
        <w:jc w:val="center"/>
        <w:rPr>
          <w:b/>
        </w:rPr>
      </w:pPr>
      <w:r w:rsidRPr="00862980">
        <w:rPr>
          <w:b/>
        </w:rPr>
        <w:t>ПРОШУ</w:t>
      </w:r>
    </w:p>
    <w:p w:rsidR="009853E8" w:rsidRDefault="009853E8" w:rsidP="009853E8">
      <w:pPr>
        <w:autoSpaceDE w:val="0"/>
        <w:autoSpaceDN w:val="0"/>
        <w:adjustRightInd w:val="0"/>
        <w:ind w:firstLine="540"/>
        <w:jc w:val="both"/>
      </w:pPr>
      <w:r>
        <w:t xml:space="preserve">Взыскать с МУП </w:t>
      </w:r>
      <w:r w:rsidRPr="008C5DB6">
        <w:t xml:space="preserve"> города Хабаровска «Дорожник»</w:t>
      </w:r>
      <w:r>
        <w:t xml:space="preserve"> в пользу ООО «СОНАР»:</w:t>
      </w:r>
    </w:p>
    <w:p w:rsidR="009853E8" w:rsidRDefault="009853E8" w:rsidP="009853E8">
      <w:pPr>
        <w:autoSpaceDE w:val="0"/>
        <w:autoSpaceDN w:val="0"/>
        <w:adjustRightInd w:val="0"/>
        <w:ind w:firstLine="540"/>
        <w:jc w:val="both"/>
      </w:pPr>
    </w:p>
    <w:p w:rsidR="009853E8" w:rsidRDefault="009853E8" w:rsidP="009853E8">
      <w:pPr>
        <w:numPr>
          <w:ilvl w:val="0"/>
          <w:numId w:val="2"/>
        </w:numPr>
        <w:tabs>
          <w:tab w:val="clear" w:pos="1365"/>
          <w:tab w:val="num" w:pos="0"/>
        </w:tabs>
        <w:autoSpaceDE w:val="0"/>
        <w:autoSpaceDN w:val="0"/>
        <w:adjustRightInd w:val="0"/>
        <w:ind w:left="0" w:firstLine="0"/>
        <w:jc w:val="both"/>
      </w:pPr>
      <w:r>
        <w:t xml:space="preserve">34 418 рублей процентов за пользование чужими денежными средствами за период неисполнения решения Арбитражного суда Хабаровского края от 17.02.2020 г. по делу № А73-25461/2019 до 06.11.2020, с начислением процентов за пользование чужими денежными средствами на сумму долга 956 312 руб. по ключевой ставке Банка России, действующей в соответствующие периоды после принятия решения суда, начиная  с 07.11.2020 г. по день фактического исполнения обязательства </w:t>
      </w:r>
    </w:p>
    <w:p w:rsidR="009853E8" w:rsidRDefault="009853E8" w:rsidP="009853E8">
      <w:pPr>
        <w:numPr>
          <w:ilvl w:val="0"/>
          <w:numId w:val="2"/>
        </w:numPr>
        <w:tabs>
          <w:tab w:val="clear" w:pos="1365"/>
          <w:tab w:val="num" w:pos="0"/>
        </w:tabs>
        <w:autoSpaceDE w:val="0"/>
        <w:autoSpaceDN w:val="0"/>
        <w:adjustRightInd w:val="0"/>
        <w:ind w:left="0" w:firstLine="0"/>
        <w:jc w:val="both"/>
      </w:pPr>
      <w:r>
        <w:t xml:space="preserve">2 000 судебные расходы в виде государственной пошлины </w:t>
      </w:r>
    </w:p>
    <w:p w:rsidR="009853E8" w:rsidRDefault="009853E8" w:rsidP="009853E8">
      <w:pPr>
        <w:numPr>
          <w:ilvl w:val="0"/>
          <w:numId w:val="2"/>
        </w:numPr>
        <w:tabs>
          <w:tab w:val="clear" w:pos="1365"/>
          <w:tab w:val="num" w:pos="0"/>
        </w:tabs>
        <w:autoSpaceDE w:val="0"/>
        <w:autoSpaceDN w:val="0"/>
        <w:adjustRightInd w:val="0"/>
        <w:ind w:left="0" w:firstLine="0"/>
        <w:jc w:val="both"/>
      </w:pPr>
      <w:r>
        <w:t>Судебные расходы по оплате юридических услуг в размере 10 000 руб.</w:t>
      </w:r>
    </w:p>
    <w:p w:rsidR="009853E8" w:rsidRDefault="009853E8" w:rsidP="009853E8">
      <w:pPr>
        <w:autoSpaceDE w:val="0"/>
        <w:autoSpaceDN w:val="0"/>
        <w:adjustRightInd w:val="0"/>
        <w:jc w:val="both"/>
      </w:pPr>
    </w:p>
    <w:p w:rsidR="009853E8" w:rsidRDefault="009853E8" w:rsidP="009853E8">
      <w:pPr>
        <w:autoSpaceDE w:val="0"/>
        <w:autoSpaceDN w:val="0"/>
        <w:adjustRightInd w:val="0"/>
        <w:ind w:left="540"/>
        <w:jc w:val="both"/>
      </w:pPr>
    </w:p>
    <w:p w:rsidR="009853E8" w:rsidRDefault="009853E8" w:rsidP="009853E8">
      <w:pPr>
        <w:ind w:firstLine="567"/>
        <w:jc w:val="both"/>
      </w:pPr>
      <w:r>
        <w:t>Приложение:</w:t>
      </w:r>
    </w:p>
    <w:p w:rsidR="009853E8" w:rsidRDefault="009853E8" w:rsidP="009853E8">
      <w:pPr>
        <w:ind w:firstLine="567"/>
        <w:jc w:val="both"/>
      </w:pPr>
    </w:p>
    <w:p w:rsidR="009853E8" w:rsidRDefault="009853E8" w:rsidP="009853E8">
      <w:pPr>
        <w:numPr>
          <w:ilvl w:val="0"/>
          <w:numId w:val="3"/>
        </w:numPr>
        <w:jc w:val="both"/>
      </w:pPr>
      <w:r>
        <w:t xml:space="preserve">Почтовая квитанция и опись, подтверждающие направление Должнику копии заявления </w:t>
      </w:r>
    </w:p>
    <w:p w:rsidR="009853E8" w:rsidRDefault="009853E8" w:rsidP="009853E8">
      <w:pPr>
        <w:numPr>
          <w:ilvl w:val="0"/>
          <w:numId w:val="3"/>
        </w:numPr>
        <w:jc w:val="both"/>
      </w:pPr>
      <w:r>
        <w:t>Платежное поручение об оплате гос. пошлины</w:t>
      </w:r>
    </w:p>
    <w:p w:rsidR="009853E8" w:rsidRDefault="009853E8" w:rsidP="009853E8">
      <w:pPr>
        <w:numPr>
          <w:ilvl w:val="0"/>
          <w:numId w:val="3"/>
        </w:numPr>
        <w:jc w:val="both"/>
      </w:pPr>
      <w:r>
        <w:lastRenderedPageBreak/>
        <w:t>Свидетельство о гос. регистрации ООО «СОНАР»</w:t>
      </w:r>
    </w:p>
    <w:p w:rsidR="009853E8" w:rsidRDefault="009853E8" w:rsidP="009853E8">
      <w:pPr>
        <w:numPr>
          <w:ilvl w:val="0"/>
          <w:numId w:val="3"/>
        </w:numPr>
        <w:jc w:val="both"/>
      </w:pPr>
      <w:r>
        <w:t xml:space="preserve">Свидетельство о постановки ООО «СОНАР» на налоговый учет </w:t>
      </w:r>
    </w:p>
    <w:p w:rsidR="009853E8" w:rsidRDefault="009853E8" w:rsidP="009853E8">
      <w:pPr>
        <w:numPr>
          <w:ilvl w:val="0"/>
          <w:numId w:val="3"/>
        </w:numPr>
        <w:jc w:val="both"/>
      </w:pPr>
      <w:r>
        <w:t>Выписка из ЕГРЮЛ на ООО «СОНАР»</w:t>
      </w:r>
    </w:p>
    <w:p w:rsidR="009853E8" w:rsidRDefault="009853E8" w:rsidP="009853E8">
      <w:pPr>
        <w:numPr>
          <w:ilvl w:val="0"/>
          <w:numId w:val="3"/>
        </w:numPr>
        <w:jc w:val="both"/>
      </w:pPr>
      <w:r>
        <w:t>Выписка из ЕГРЮЛ на МУП Города Хабаровска «Дорожник»</w:t>
      </w:r>
    </w:p>
    <w:p w:rsidR="009853E8" w:rsidRDefault="009853E8" w:rsidP="009853E8">
      <w:pPr>
        <w:numPr>
          <w:ilvl w:val="0"/>
          <w:numId w:val="3"/>
        </w:numPr>
        <w:jc w:val="both"/>
      </w:pPr>
      <w:r>
        <w:t>Договор на поставку резцов для дорожной фрезы от 25 марта 2019 г.</w:t>
      </w:r>
    </w:p>
    <w:p w:rsidR="009853E8" w:rsidRDefault="009853E8" w:rsidP="009853E8">
      <w:pPr>
        <w:numPr>
          <w:ilvl w:val="0"/>
          <w:numId w:val="3"/>
        </w:numPr>
        <w:jc w:val="both"/>
      </w:pPr>
      <w:r>
        <w:t>Заверенная копия решения Арбитражного суда Хабаровского края от 17.02.2020 г. по делу № А73-25461/2019</w:t>
      </w:r>
    </w:p>
    <w:p w:rsidR="009853E8" w:rsidRDefault="009853E8" w:rsidP="009853E8">
      <w:pPr>
        <w:numPr>
          <w:ilvl w:val="0"/>
          <w:numId w:val="3"/>
        </w:numPr>
        <w:jc w:val="both"/>
      </w:pPr>
      <w:r>
        <w:t>Претензия от 02.10.2020 г.</w:t>
      </w:r>
    </w:p>
    <w:p w:rsidR="009853E8" w:rsidRDefault="009853E8" w:rsidP="009853E8">
      <w:pPr>
        <w:numPr>
          <w:ilvl w:val="0"/>
          <w:numId w:val="3"/>
        </w:numPr>
        <w:jc w:val="both"/>
      </w:pPr>
      <w:r>
        <w:t xml:space="preserve">Почтовая квитанция и опись об отправке претензии </w:t>
      </w:r>
    </w:p>
    <w:p w:rsidR="009853E8" w:rsidRDefault="009853E8" w:rsidP="009853E8">
      <w:pPr>
        <w:numPr>
          <w:ilvl w:val="0"/>
          <w:numId w:val="3"/>
        </w:numPr>
        <w:jc w:val="both"/>
      </w:pPr>
      <w:r>
        <w:t xml:space="preserve">Соглашение № 199 от 30.09.2020 об оказании юридических услуг </w:t>
      </w:r>
    </w:p>
    <w:p w:rsidR="009853E8" w:rsidRDefault="009853E8" w:rsidP="009853E8">
      <w:pPr>
        <w:numPr>
          <w:ilvl w:val="0"/>
          <w:numId w:val="3"/>
        </w:numPr>
        <w:jc w:val="both"/>
      </w:pPr>
      <w:r>
        <w:t xml:space="preserve">Платежное поручение № 1691 от 30.09.2020 </w:t>
      </w:r>
    </w:p>
    <w:p w:rsidR="009853E8" w:rsidRDefault="009853E8" w:rsidP="009853E8">
      <w:pPr>
        <w:jc w:val="both"/>
      </w:pPr>
    </w:p>
    <w:p w:rsidR="009853E8" w:rsidRPr="005F5CFA" w:rsidRDefault="009853E8" w:rsidP="009853E8">
      <w:pPr>
        <w:ind w:firstLine="567"/>
        <w:jc w:val="both"/>
        <w:rPr>
          <w:b/>
        </w:rPr>
      </w:pPr>
      <w:r w:rsidRPr="005F5CFA">
        <w:rPr>
          <w:b/>
        </w:rPr>
        <w:t xml:space="preserve">Генеральный директор ООО «СОНАР» ____________Коротков Сергей Константинович </w:t>
      </w:r>
    </w:p>
    <w:p w:rsidR="009853E8" w:rsidRDefault="009853E8" w:rsidP="009853E8">
      <w:pPr>
        <w:ind w:firstLine="567"/>
        <w:jc w:val="both"/>
      </w:pPr>
    </w:p>
    <w:p w:rsidR="009853E8" w:rsidRDefault="009853E8" w:rsidP="009853E8">
      <w:pPr>
        <w:ind w:firstLine="567"/>
        <w:jc w:val="both"/>
      </w:pPr>
      <w:r>
        <w:t>07.11.2020 г.</w:t>
      </w:r>
    </w:p>
    <w:p w:rsidR="009853E8" w:rsidRPr="00885C1E" w:rsidRDefault="009853E8" w:rsidP="009853E8">
      <w:pPr>
        <w:ind w:firstLine="540"/>
        <w:jc w:val="both"/>
      </w:pPr>
    </w:p>
    <w:p w:rsidR="009853E8" w:rsidRDefault="009853E8" w:rsidP="009853E8">
      <w:pPr>
        <w:ind w:firstLine="540"/>
        <w:jc w:val="both"/>
      </w:pPr>
    </w:p>
    <w:p w:rsidR="009853E8" w:rsidRDefault="009853E8" w:rsidP="009853E8">
      <w:pPr>
        <w:jc w:val="center"/>
      </w:pPr>
    </w:p>
    <w:p w:rsidR="006466A7" w:rsidRDefault="006466A7">
      <w:bookmarkStart w:id="0" w:name="_GoBack"/>
      <w:bookmarkEnd w:id="0"/>
    </w:p>
    <w:sectPr w:rsidR="006466A7" w:rsidSect="00C95D0D">
      <w:footerReference w:type="even" r:id="rId14"/>
      <w:footerReference w:type="default" r:id="rId15"/>
      <w:pgSz w:w="12240" w:h="15840"/>
      <w:pgMar w:top="719"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A9" w:rsidRDefault="009853E8" w:rsidP="009E58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3AA9" w:rsidRDefault="009853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A9" w:rsidRDefault="009853E8" w:rsidP="009E58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03AA9" w:rsidRDefault="009853E8">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D92"/>
    <w:multiLevelType w:val="hybridMultilevel"/>
    <w:tmpl w:val="ADF05B54"/>
    <w:lvl w:ilvl="0" w:tplc="97A2BD9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4254796"/>
    <w:multiLevelType w:val="hybridMultilevel"/>
    <w:tmpl w:val="2F2C0F20"/>
    <w:lvl w:ilvl="0" w:tplc="97A2BD9C">
      <w:start w:val="1"/>
      <w:numFmt w:val="decimal"/>
      <w:lvlText w:val="%1)"/>
      <w:lvlJc w:val="left"/>
      <w:pPr>
        <w:tabs>
          <w:tab w:val="num" w:pos="1932"/>
        </w:tabs>
        <w:ind w:left="1932" w:hanging="82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4F0A6ACD"/>
    <w:multiLevelType w:val="hybridMultilevel"/>
    <w:tmpl w:val="FE2A34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E8"/>
    <w:rsid w:val="006466A7"/>
    <w:rsid w:val="0098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90071-A770-408C-840F-FADC80B0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E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9853E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53E8"/>
    <w:rPr>
      <w:rFonts w:ascii="Times New Roman" w:eastAsia="Times New Roman" w:hAnsi="Times New Roman" w:cs="Times New Roman"/>
      <w:b/>
      <w:bCs/>
      <w:sz w:val="36"/>
      <w:szCs w:val="36"/>
      <w:lang w:eastAsia="ru-RU"/>
    </w:rPr>
  </w:style>
  <w:style w:type="paragraph" w:styleId="a3">
    <w:name w:val="footer"/>
    <w:basedOn w:val="a"/>
    <w:link w:val="a4"/>
    <w:rsid w:val="009853E8"/>
    <w:pPr>
      <w:tabs>
        <w:tab w:val="center" w:pos="4677"/>
        <w:tab w:val="right" w:pos="9355"/>
      </w:tabs>
    </w:pPr>
  </w:style>
  <w:style w:type="character" w:customStyle="1" w:styleId="a4">
    <w:name w:val="Нижний колонтитул Знак"/>
    <w:basedOn w:val="a0"/>
    <w:link w:val="a3"/>
    <w:rsid w:val="009853E8"/>
    <w:rPr>
      <w:rFonts w:ascii="Times New Roman" w:eastAsia="Times New Roman" w:hAnsi="Times New Roman" w:cs="Times New Roman"/>
      <w:sz w:val="24"/>
      <w:szCs w:val="24"/>
      <w:lang w:eastAsia="ru-RU"/>
    </w:rPr>
  </w:style>
  <w:style w:type="character" w:styleId="a5">
    <w:name w:val="page number"/>
    <w:basedOn w:val="a0"/>
    <w:rsid w:val="0098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95AC73EF4A16237B47F7A715A0F5889D879AFC4A02CE30A26C25B43952F59D3CEB628E878D655CF4B40942180AB7A3734B6E0B256067C26ZCJ" TargetMode="External"/><Relationship Id="rId13" Type="http://schemas.openxmlformats.org/officeDocument/2006/relationships/hyperlink" Target="consultantplus://offline/ref=C3B5AD20C02580969D8AFBF00E57DFA07AF5A0470F05C7081A0F175BBDA3CCDB4813817AC8565675BC24267283D0E93D9DE4139AF6D9F42Cv6eDJ" TargetMode="External"/><Relationship Id="rId3" Type="http://schemas.openxmlformats.org/officeDocument/2006/relationships/settings" Target="settings.xml"/><Relationship Id="rId7" Type="http://schemas.openxmlformats.org/officeDocument/2006/relationships/hyperlink" Target="consultantplus://offline/ref=B9A7E5D586C7F3164691D9803220764A53522BBF7A95326F7BE5A613E7A230C5058F390A8146A40A4E4F79800ED9D3C67E8E9C65611F208DlBZ2J" TargetMode="External"/><Relationship Id="rId12" Type="http://schemas.openxmlformats.org/officeDocument/2006/relationships/hyperlink" Target="consultantplus://offline/ref=C3B5AD20C02580969D8AFBF00E57DFA07AF5A0470F05C7081A0F175BBDA3CCDB4813817AC8565677B924267283D0E93D9DE4139AF6D9F42Cv6e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9A7E5D586C7F3164691D9803220764A53522BBF7A95326F7BE5A613E7A230C5058F390A8146A40A4D4F79800ED9D3C67E8E9C65611F208DlBZ2J" TargetMode="External"/><Relationship Id="rId11" Type="http://schemas.openxmlformats.org/officeDocument/2006/relationships/hyperlink" Target="consultantplus://offline/ref=C3B5AD20C02580969D8AFBF00E57DFA07AF5A0470F05C7081A0F175BBDA3CCDB4813817AC8565774B824267283D0E93D9DE4139AF6D9F42Cv6eDJ" TargetMode="External"/><Relationship Id="rId5" Type="http://schemas.openxmlformats.org/officeDocument/2006/relationships/hyperlink" Target="consultantplus://offline/ref=B9A7E5D586C7F3164691D9803220764A53522BBF7A95326F7BE5A613E7A230C5058F390A8146A409454F79800ED9D3C67E8E9C65611F208DlBZ2J" TargetMode="External"/><Relationship Id="rId15" Type="http://schemas.openxmlformats.org/officeDocument/2006/relationships/footer" Target="footer2.xml"/><Relationship Id="rId10" Type="http://schemas.openxmlformats.org/officeDocument/2006/relationships/hyperlink" Target="consultantplus://offline/ref=C3B5AD20C02580969D8AFBF00E57DFA07AF2A9460D05C7081A0F175BBDA3CCDB4813817AC8575872BE24267283D0E93D9DE4139AF6D9F42Cv6eDJ" TargetMode="External"/><Relationship Id="rId4" Type="http://schemas.openxmlformats.org/officeDocument/2006/relationships/webSettings" Target="webSettings.xml"/><Relationship Id="rId9" Type="http://schemas.openxmlformats.org/officeDocument/2006/relationships/hyperlink" Target="consultantplus://offline/ref=C3B5AD20C02580969D8AFBF00E57DFA07AF2A9460D05C7081A0F175BBDA3CCDB4813817AC857597BB624267283D0E93D9DE4139AF6D9F42Cv6e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1</cp:revision>
  <dcterms:created xsi:type="dcterms:W3CDTF">2021-12-26T20:46:00Z</dcterms:created>
  <dcterms:modified xsi:type="dcterms:W3CDTF">2021-12-26T20:49:00Z</dcterms:modified>
</cp:coreProperties>
</file>